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INTERNATIONAL PLAZA</w:t>
      </w:r>
    </w:p>
    <w:p>
      <w:pPr>
        <w:pStyle w:val="Normal.0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7280 West Palmetto Park Road</w:t>
      </w:r>
    </w:p>
    <w:p>
      <w:pPr>
        <w:pStyle w:val="Heading 1"/>
      </w:pPr>
      <w:r>
        <w:rPr>
          <w:b w:val="1"/>
          <w:bCs w:val="1"/>
          <w:rtl w:val="0"/>
          <w:lang w:val="en-US"/>
        </w:rPr>
        <w:t>Boca Raton, Florida   33433</w:t>
      </w:r>
    </w:p>
    <w:p>
      <w:pPr>
        <w:pStyle w:val="Normal.0"/>
        <w:ind w:left="1440" w:firstLine="720"/>
      </w:pPr>
      <w:r>
        <w:drawing xmlns:a="http://schemas.openxmlformats.org/drawingml/2006/main">
          <wp:inline distT="0" distB="0" distL="0" distR="0">
            <wp:extent cx="2715768" cy="1437437"/>
            <wp:effectExtent l="0" t="0" r="0" b="0"/>
            <wp:docPr id="1073741825" name="officeArt object" descr="Get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GetImage.jpeg" descr="GetImage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768" cy="14374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</w:pPr>
    </w:p>
    <w:p>
      <w:pPr>
        <w:pStyle w:val="Normal.0"/>
      </w:pPr>
      <w:r>
        <w:tab/>
        <w:tab/>
        <w:tab/>
      </w:r>
    </w:p>
    <w:tbl>
      <w:tblPr>
        <w:tblW w:w="4464" w:type="dxa"/>
        <w:jc w:val="left"/>
        <w:tblInd w:w="23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60"/>
        <w:gridCol w:w="2304"/>
      </w:tblGrid>
      <w:tr>
        <w:tblPrEx>
          <w:shd w:val="clear" w:color="auto" w:fill="ced7e7"/>
        </w:tblPrEx>
        <w:trPr>
          <w:trHeight w:val="328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Suite</w:t>
            </w:r>
          </w:p>
        </w:tc>
        <w:tc>
          <w:tcPr>
            <w:tcW w:type="dxa" w:w="23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Size</w:t>
            </w:r>
          </w:p>
        </w:tc>
      </w:tr>
      <w:tr>
        <w:tblPrEx>
          <w:shd w:val="clear" w:color="auto" w:fill="ced7e7"/>
        </w:tblPrEx>
        <w:trPr>
          <w:trHeight w:val="328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204-N</w:t>
            </w:r>
          </w:p>
        </w:tc>
        <w:tc>
          <w:tcPr>
            <w:tcW w:type="dxa" w:w="23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682 RSF</w:t>
            </w:r>
          </w:p>
        </w:tc>
      </w:tr>
    </w:tbl>
    <w:p>
      <w:pPr>
        <w:pStyle w:val="Normal.0"/>
        <w:widowControl w:val="0"/>
        <w:ind w:left="2208" w:hanging="2208"/>
      </w:pPr>
    </w:p>
    <w:p>
      <w:pPr>
        <w:pStyle w:val="Normal.0"/>
        <w:widowControl w:val="0"/>
        <w:ind w:left="2100" w:hanging="2100"/>
      </w:pPr>
    </w:p>
    <w:p>
      <w:pPr>
        <w:pStyle w:val="Body Text Indent"/>
        <w:ind w:hanging="720"/>
      </w:pPr>
      <w:r>
        <w:rPr>
          <w:rtl w:val="0"/>
          <w:lang w:val="en-US"/>
        </w:rPr>
        <w:t xml:space="preserve"> (rentable area includes a </w:t>
      </w:r>
      <w:r>
        <w:rPr>
          <w:rtl w:val="0"/>
          <w:lang w:val="en-US"/>
        </w:rPr>
        <w:t>20</w:t>
      </w:r>
      <w:r>
        <w:rPr>
          <w:rtl w:val="0"/>
          <w:lang w:val="en-US"/>
        </w:rPr>
        <w:t>% common area factor)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BASE RENT:</w:t>
        <w:tab/>
        <w:tab/>
        <w:tab/>
        <w:t>$</w:t>
      </w:r>
      <w:r>
        <w:rPr>
          <w:rtl w:val="0"/>
        </w:rPr>
        <w:t>32</w:t>
      </w:r>
      <w:r>
        <w:rPr>
          <w:rtl w:val="0"/>
        </w:rPr>
        <w:t>.00  per rentable square foot; triple net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ESTIMATED</w:t>
      </w:r>
    </w:p>
    <w:p>
      <w:pPr>
        <w:pStyle w:val="Normal.0"/>
      </w:pPr>
      <w:r>
        <w:rPr>
          <w:rtl w:val="0"/>
        </w:rPr>
        <w:t>OPERATING</w:t>
      </w:r>
    </w:p>
    <w:p>
      <w:pPr>
        <w:pStyle w:val="Normal.0"/>
      </w:pPr>
      <w:r>
        <w:rPr>
          <w:rtl w:val="0"/>
        </w:rPr>
        <w:t>EXPENSES:</w:t>
        <w:tab/>
        <w:tab/>
        <w:tab/>
        <w:t>$1</w:t>
      </w:r>
      <w:r>
        <w:rPr>
          <w:rtl w:val="0"/>
        </w:rPr>
        <w:t>8.71</w:t>
      </w:r>
      <w:r>
        <w:rPr>
          <w:rtl w:val="0"/>
        </w:rPr>
        <w:t xml:space="preserve"> per rentable square foot </w:t>
      </w:r>
      <w:r>
        <w:rPr>
          <w:rtl w:val="0"/>
        </w:rPr>
        <w:t xml:space="preserve">– </w:t>
      </w:r>
      <w:r>
        <w:rPr>
          <w:rtl w:val="0"/>
        </w:rPr>
        <w:t>20</w:t>
      </w:r>
      <w:r>
        <w:rPr>
          <w:rtl w:val="0"/>
        </w:rPr>
        <w:t>26</w:t>
      </w:r>
      <w:r>
        <w:rPr>
          <w:rtl w:val="0"/>
        </w:rPr>
        <w:t xml:space="preserve"> estimate</w:t>
      </w:r>
    </w:p>
    <w:p>
      <w:pPr>
        <w:pStyle w:val="Normal.0"/>
      </w:pPr>
      <w:r>
        <w:rPr>
          <w:rtl w:val="0"/>
        </w:rPr>
        <w:tab/>
        <w:tab/>
        <w:tab/>
        <w:tab/>
        <w:t>(includes common area maintenance, property</w:t>
      </w:r>
    </w:p>
    <w:p>
      <w:pPr>
        <w:pStyle w:val="Normal.0"/>
      </w:pPr>
      <w:r>
        <w:rPr>
          <w:rtl w:val="0"/>
        </w:rPr>
        <w:tab/>
        <w:tab/>
        <w:tab/>
        <w:tab/>
        <w:t xml:space="preserve">taxes. insurance, tenant janitorial services, </w:t>
      </w:r>
    </w:p>
    <w:p>
      <w:pPr>
        <w:pStyle w:val="Normal.0"/>
      </w:pPr>
      <w:r>
        <w:rPr>
          <w:rtl w:val="0"/>
        </w:rPr>
        <w:tab/>
        <w:tab/>
        <w:tab/>
        <w:tab/>
        <w:t>electricity and air conditioning).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ANNUAL BASE</w:t>
      </w:r>
    </w:p>
    <w:p>
      <w:pPr>
        <w:pStyle w:val="Normal.0"/>
      </w:pPr>
      <w:r>
        <w:rPr>
          <w:rtl w:val="0"/>
        </w:rPr>
        <w:t>RENT ESCALATION:</w:t>
        <w:tab/>
      </w:r>
      <w:r>
        <w:rPr>
          <w:rtl w:val="0"/>
        </w:rPr>
        <w:t>Four</w:t>
      </w:r>
      <w:r>
        <w:rPr>
          <w:rtl w:val="0"/>
        </w:rPr>
        <w:t xml:space="preserve"> percent (</w:t>
      </w:r>
      <w:r>
        <w:rPr>
          <w:rtl w:val="0"/>
        </w:rPr>
        <w:t>4</w:t>
      </w:r>
      <w:r>
        <w:rPr>
          <w:rtl w:val="0"/>
        </w:rPr>
        <w:t>%)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CONDITION OF</w:t>
      </w:r>
    </w:p>
    <w:p>
      <w:pPr>
        <w:pStyle w:val="Normal.0"/>
      </w:pPr>
      <w:r>
        <w:rPr>
          <w:rtl w:val="0"/>
        </w:rPr>
        <w:t>PREMISES:</w:t>
        <w:tab/>
        <w:tab/>
        <w:tab/>
        <w:t>See attached plan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PARKING:</w:t>
        <w:tab/>
        <w:tab/>
        <w:tab/>
        <w:t>Secured, garage parking available</w:t>
      </w:r>
    </w:p>
    <w:p>
      <w:pPr>
        <w:pStyle w:val="Normal.0"/>
      </w:pPr>
    </w:p>
    <w:p>
      <w:pPr>
        <w:pStyle w:val="Normal.0"/>
        <w:rPr>
          <w:b w:val="1"/>
          <w:bCs w:val="1"/>
        </w:rPr>
      </w:pPr>
      <w:r>
        <w:tab/>
        <w:tab/>
        <w:tab/>
      </w:r>
      <w:r>
        <w:rPr>
          <w:b w:val="1"/>
          <w:bCs w:val="1"/>
          <w:rtl w:val="0"/>
          <w:lang w:val="en-US"/>
        </w:rPr>
        <w:t>FOR LEASING INFORMATION CONTACT:</w:t>
      </w:r>
    </w:p>
    <w:p>
      <w:pPr>
        <w:pStyle w:val="Normal.0"/>
      </w:pPr>
      <w:r>
        <w:rPr>
          <w:rtl w:val="0"/>
        </w:rPr>
        <w:tab/>
        <w:tab/>
        <w:tab/>
        <w:tab/>
        <w:t>COLDWELL BANKER COMMERCIAL</w:t>
      </w:r>
    </w:p>
    <w:p>
      <w:pPr>
        <w:pStyle w:val="Normal.0"/>
      </w:pPr>
      <w:r>
        <w:rPr>
          <w:rtl w:val="0"/>
        </w:rPr>
        <w:tab/>
        <w:tab/>
        <w:tab/>
        <w:tab/>
        <w:t>Ingrid Fulmer 561-479-5970</w:t>
      </w:r>
    </w:p>
    <w:p>
      <w:pPr>
        <w:pStyle w:val="Normal.0"/>
      </w:pPr>
      <w:r>
        <w:tab/>
        <w:tab/>
        <w:tab/>
        <w:tab/>
      </w:r>
    </w:p>
    <w:p>
      <w:pPr>
        <w:pStyle w:val="Normal.0"/>
      </w:pPr>
    </w:p>
    <w:p>
      <w:pPr>
        <w:pStyle w:val="Heading 2"/>
      </w:pPr>
      <w:r>
        <w:rPr>
          <w:rtl w:val="0"/>
        </w:rPr>
        <w:t>SUBJECT TO WITHDRAWAL, CHANGE OR PRIOR RENTAL</w:t>
      </w:r>
    </w:p>
    <w:sectPr>
      <w:headerReference w:type="default" r:id="rId5"/>
      <w:footerReference w:type="default" r:id="rId6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0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singl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Text Indent">
    <w:name w:val="Body Text Indent"/>
    <w:next w:val="Body Text Inden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2880" w:right="0" w:hanging="144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2">
    <w:name w:val="Heading 2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720"/>
      <w:jc w:val="left"/>
      <w:outlineLvl w:val="0"/>
    </w:pPr>
    <w:rPr>
      <w:rFonts w:ascii="Times New Roman" w:cs="Arial Unicode MS" w:hAnsi="Times New Roman" w:eastAsia="Arial Unicode MS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